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Look w:val="0000" w:firstRow="0" w:lastRow="0" w:firstColumn="0" w:lastColumn="0" w:noHBand="0" w:noVBand="0"/>
      </w:tblPr>
      <w:tblGrid>
        <w:gridCol w:w="6138"/>
        <w:gridCol w:w="3330"/>
      </w:tblGrid>
      <w:tr w:rsidR="00791115" w:rsidRPr="00AC30A5" w:rsidTr="00791115">
        <w:trPr>
          <w:trHeight w:val="423"/>
        </w:trPr>
        <w:tc>
          <w:tcPr>
            <w:tcW w:w="9468" w:type="dxa"/>
            <w:gridSpan w:val="2"/>
            <w:tcBorders>
              <w:bottom w:val="nil"/>
            </w:tcBorders>
            <w:vAlign w:val="center"/>
          </w:tcPr>
          <w:p w:rsidR="00791115" w:rsidRPr="00AC30A5" w:rsidRDefault="00791115" w:rsidP="00791115">
            <w:pPr>
              <w:pStyle w:val="Heading1"/>
              <w:spacing w:before="0" w:after="240"/>
              <w:jc w:val="center"/>
              <w:rPr>
                <w:rFonts w:cs="Arial"/>
                <w:sz w:val="28"/>
                <w:szCs w:val="28"/>
              </w:rPr>
            </w:pPr>
            <w:bookmarkStart w:id="0" w:name="CrmROVD"/>
            <w:bookmarkStart w:id="1" w:name="_GoBack"/>
            <w:bookmarkEnd w:id="1"/>
            <w:r w:rsidRPr="00AC30A5">
              <w:rPr>
                <w:rFonts w:cs="Arial"/>
                <w:sz w:val="28"/>
                <w:szCs w:val="28"/>
              </w:rPr>
              <w:t xml:space="preserve">SUPREME COURT OF </w:t>
            </w:r>
            <w:smartTag w:uri="urn:schemas-microsoft-com:office:smarttags" w:element="State">
              <w:smartTag w:uri="urn:schemas-microsoft-com:office:smarttags" w:element="place">
                <w:r w:rsidRPr="00AC30A5">
                  <w:rPr>
                    <w:rFonts w:cs="Arial"/>
                    <w:sz w:val="28"/>
                    <w:szCs w:val="28"/>
                  </w:rPr>
                  <w:t>YUKON</w:t>
                </w:r>
              </w:smartTag>
            </w:smartTag>
            <w:r w:rsidRPr="00AC30A5">
              <w:rPr>
                <w:rFonts w:cs="Arial"/>
                <w:sz w:val="28"/>
                <w:szCs w:val="28"/>
              </w:rPr>
              <w:t xml:space="preserve"> </w:t>
            </w:r>
          </w:p>
        </w:tc>
      </w:tr>
      <w:tr w:rsidR="00791115" w:rsidTr="00791115">
        <w:trPr>
          <w:cantSplit/>
        </w:trPr>
        <w:tc>
          <w:tcPr>
            <w:tcW w:w="6138" w:type="dxa"/>
            <w:vMerge w:val="restart"/>
          </w:tcPr>
          <w:p w:rsidR="00791115" w:rsidRPr="003B34B8" w:rsidRDefault="00791115" w:rsidP="00C865AB">
            <w:pPr>
              <w:rPr>
                <w:rFonts w:cs="Arial"/>
                <w:szCs w:val="24"/>
                <w:lang w:val="fr-CA"/>
              </w:rPr>
            </w:pPr>
            <w:proofErr w:type="gramStart"/>
            <w:r w:rsidRPr="003B34B8">
              <w:rPr>
                <w:rFonts w:cs="Arial"/>
                <w:szCs w:val="24"/>
                <w:lang w:val="fr-CA"/>
              </w:rPr>
              <w:t>Citation:</w:t>
            </w:r>
            <w:proofErr w:type="gramEnd"/>
            <w:r w:rsidRPr="003B34B8">
              <w:rPr>
                <w:rFonts w:cs="Arial"/>
                <w:szCs w:val="24"/>
                <w:lang w:val="fr-CA"/>
              </w:rPr>
              <w:t xml:space="preserve">  </w:t>
            </w:r>
            <w:r w:rsidR="008F5688">
              <w:rPr>
                <w:rFonts w:cs="Arial"/>
                <w:i/>
                <w:szCs w:val="24"/>
                <w:lang w:val="fr-CA"/>
              </w:rPr>
              <w:t>R</w:t>
            </w:r>
            <w:r w:rsidR="00963C76">
              <w:rPr>
                <w:rFonts w:cs="Arial"/>
                <w:i/>
                <w:szCs w:val="24"/>
                <w:lang w:val="fr-CA"/>
              </w:rPr>
              <w:t>.</w:t>
            </w:r>
            <w:r w:rsidR="008F5688">
              <w:rPr>
                <w:rFonts w:cs="Arial"/>
                <w:i/>
                <w:szCs w:val="24"/>
                <w:lang w:val="fr-CA"/>
              </w:rPr>
              <w:t xml:space="preserve"> </w:t>
            </w:r>
            <w:r w:rsidR="008F5688">
              <w:rPr>
                <w:rFonts w:cs="Arial"/>
                <w:szCs w:val="24"/>
                <w:lang w:val="fr-CA"/>
              </w:rPr>
              <w:t xml:space="preserve">v. </w:t>
            </w:r>
            <w:r w:rsidR="008F5688">
              <w:rPr>
                <w:rFonts w:cs="Arial"/>
                <w:i/>
                <w:szCs w:val="24"/>
                <w:lang w:val="fr-CA"/>
              </w:rPr>
              <w:t>Cole</w:t>
            </w:r>
            <w:r w:rsidR="008F5688">
              <w:rPr>
                <w:rFonts w:cs="Arial"/>
                <w:szCs w:val="24"/>
                <w:lang w:val="fr-CA"/>
              </w:rPr>
              <w:t>, 2013</w:t>
            </w:r>
            <w:r w:rsidRPr="003B34B8">
              <w:rPr>
                <w:rFonts w:cs="Arial"/>
                <w:szCs w:val="24"/>
                <w:lang w:val="fr-CA"/>
              </w:rPr>
              <w:t xml:space="preserve"> </w:t>
            </w:r>
            <w:r w:rsidRPr="00C865AB">
              <w:rPr>
                <w:rFonts w:cs="Arial"/>
                <w:szCs w:val="24"/>
                <w:lang w:val="fr-CA"/>
              </w:rPr>
              <w:t xml:space="preserve">YKSC </w:t>
            </w:r>
            <w:r w:rsidR="00C865AB">
              <w:rPr>
                <w:rFonts w:cs="Arial"/>
                <w:szCs w:val="24"/>
                <w:lang w:val="fr-CA"/>
              </w:rPr>
              <w:t>13</w:t>
            </w:r>
          </w:p>
        </w:tc>
        <w:tc>
          <w:tcPr>
            <w:tcW w:w="3330" w:type="dxa"/>
          </w:tcPr>
          <w:p w:rsidR="00791115" w:rsidRDefault="00791115" w:rsidP="003B34B8">
            <w:pPr>
              <w:jc w:val="right"/>
              <w:rPr>
                <w:rFonts w:cs="Arial"/>
                <w:szCs w:val="24"/>
              </w:rPr>
            </w:pPr>
            <w:r>
              <w:rPr>
                <w:rFonts w:cs="Arial"/>
                <w:szCs w:val="24"/>
              </w:rPr>
              <w:t xml:space="preserve">Date:  </w:t>
            </w:r>
            <w:r w:rsidR="0020711A">
              <w:rPr>
                <w:rFonts w:cs="Arial"/>
                <w:szCs w:val="24"/>
              </w:rPr>
              <w:t>2013</w:t>
            </w:r>
            <w:r w:rsidR="008F5688">
              <w:rPr>
                <w:rFonts w:cs="Arial"/>
                <w:szCs w:val="24"/>
              </w:rPr>
              <w:t>0219</w:t>
            </w:r>
          </w:p>
        </w:tc>
      </w:tr>
      <w:tr w:rsidR="00791115" w:rsidTr="00791115">
        <w:trPr>
          <w:cantSplit/>
          <w:trHeight w:val="270"/>
        </w:trPr>
        <w:tc>
          <w:tcPr>
            <w:tcW w:w="6138" w:type="dxa"/>
            <w:vMerge/>
          </w:tcPr>
          <w:p w:rsidR="00791115" w:rsidRDefault="00791115" w:rsidP="00791115">
            <w:pPr>
              <w:jc w:val="both"/>
              <w:rPr>
                <w:rFonts w:cs="Arial"/>
                <w:szCs w:val="24"/>
              </w:rPr>
            </w:pPr>
          </w:p>
        </w:tc>
        <w:tc>
          <w:tcPr>
            <w:tcW w:w="3330" w:type="dxa"/>
          </w:tcPr>
          <w:p w:rsidR="00791115" w:rsidRDefault="00791115" w:rsidP="003B34B8">
            <w:pPr>
              <w:jc w:val="right"/>
              <w:rPr>
                <w:rFonts w:cs="Arial"/>
                <w:szCs w:val="24"/>
              </w:rPr>
            </w:pPr>
            <w:r>
              <w:rPr>
                <w:rFonts w:cs="Arial"/>
                <w:szCs w:val="24"/>
              </w:rPr>
              <w:t xml:space="preserve">Docket:  S.C. No. </w:t>
            </w:r>
            <w:r w:rsidR="008F5688">
              <w:rPr>
                <w:rFonts w:cs="Arial"/>
                <w:szCs w:val="24"/>
              </w:rPr>
              <w:t>12-00020A</w:t>
            </w:r>
          </w:p>
          <w:p w:rsidR="003B34B8" w:rsidRDefault="003B34B8" w:rsidP="003B34B8">
            <w:pPr>
              <w:jc w:val="right"/>
              <w:rPr>
                <w:rFonts w:cs="Arial"/>
                <w:szCs w:val="24"/>
              </w:rPr>
            </w:pPr>
            <w:r>
              <w:rPr>
                <w:rFonts w:cs="Arial"/>
                <w:szCs w:val="24"/>
              </w:rPr>
              <w:t>12-</w:t>
            </w:r>
            <w:r w:rsidR="008F5688">
              <w:rPr>
                <w:rFonts w:cs="Arial"/>
                <w:szCs w:val="24"/>
              </w:rPr>
              <w:t>00905A</w:t>
            </w:r>
          </w:p>
        </w:tc>
      </w:tr>
      <w:tr w:rsidR="00791115" w:rsidTr="00791115">
        <w:trPr>
          <w:trHeight w:val="270"/>
        </w:trPr>
        <w:tc>
          <w:tcPr>
            <w:tcW w:w="9468" w:type="dxa"/>
            <w:gridSpan w:val="2"/>
          </w:tcPr>
          <w:p w:rsidR="00791115" w:rsidRDefault="00791115" w:rsidP="00791115">
            <w:pPr>
              <w:jc w:val="right"/>
              <w:rPr>
                <w:rFonts w:cs="Arial"/>
                <w:szCs w:val="24"/>
              </w:rPr>
            </w:pPr>
            <w:r>
              <w:rPr>
                <w:rFonts w:cs="Arial"/>
                <w:szCs w:val="24"/>
              </w:rPr>
              <w:t xml:space="preserve">Registry:  </w:t>
            </w:r>
            <w:r w:rsidR="00221C5E">
              <w:rPr>
                <w:rFonts w:cs="Arial"/>
                <w:szCs w:val="24"/>
              </w:rPr>
              <w:fldChar w:fldCharType="begin">
                <w:ffData>
                  <w:name w:val="Text4"/>
                  <w:enabled/>
                  <w:calcOnExit w:val="0"/>
                  <w:textInput>
                    <w:default w:val="Whitehorse"/>
                  </w:textInput>
                </w:ffData>
              </w:fldChar>
            </w:r>
            <w:r>
              <w:rPr>
                <w:rFonts w:cs="Arial"/>
                <w:szCs w:val="24"/>
              </w:rPr>
              <w:instrText xml:space="preserve"> FORMTEXT </w:instrText>
            </w:r>
            <w:r w:rsidR="00221C5E">
              <w:rPr>
                <w:rFonts w:cs="Arial"/>
                <w:szCs w:val="24"/>
              </w:rPr>
            </w:r>
            <w:r w:rsidR="00221C5E">
              <w:rPr>
                <w:rFonts w:cs="Arial"/>
                <w:szCs w:val="24"/>
              </w:rPr>
              <w:fldChar w:fldCharType="separate"/>
            </w:r>
            <w:r>
              <w:rPr>
                <w:rFonts w:cs="Arial"/>
                <w:noProof/>
                <w:szCs w:val="24"/>
              </w:rPr>
              <w:t>Whitehorse</w:t>
            </w:r>
            <w:r w:rsidR="00221C5E">
              <w:rPr>
                <w:rFonts w:cs="Arial"/>
                <w:szCs w:val="24"/>
              </w:rPr>
              <w:fldChar w:fldCharType="end"/>
            </w:r>
          </w:p>
        </w:tc>
      </w:tr>
      <w:tr w:rsidR="00791115" w:rsidTr="00791115">
        <w:tc>
          <w:tcPr>
            <w:tcW w:w="9468" w:type="dxa"/>
            <w:gridSpan w:val="2"/>
          </w:tcPr>
          <w:p w:rsidR="00791115" w:rsidRDefault="00791115" w:rsidP="00791115">
            <w:pPr>
              <w:rPr>
                <w:rFonts w:cs="Arial"/>
                <w:szCs w:val="24"/>
              </w:rPr>
            </w:pPr>
          </w:p>
          <w:p w:rsidR="00791115" w:rsidRDefault="00791115" w:rsidP="00791115">
            <w:pPr>
              <w:rPr>
                <w:rFonts w:cs="Arial"/>
                <w:szCs w:val="24"/>
              </w:rPr>
            </w:pPr>
          </w:p>
          <w:p w:rsidR="00791115" w:rsidRDefault="00791115" w:rsidP="00791115">
            <w:pPr>
              <w:rPr>
                <w:rFonts w:cs="Arial"/>
                <w:szCs w:val="24"/>
              </w:rPr>
            </w:pPr>
            <w:r>
              <w:rPr>
                <w:rFonts w:cs="Arial"/>
                <w:szCs w:val="24"/>
              </w:rPr>
              <w:t>BETWEEN:</w:t>
            </w:r>
          </w:p>
        </w:tc>
      </w:tr>
      <w:tr w:rsidR="00791115" w:rsidRPr="00A05F68" w:rsidTr="00791115">
        <w:trPr>
          <w:trHeight w:val="594"/>
        </w:trPr>
        <w:tc>
          <w:tcPr>
            <w:tcW w:w="9468" w:type="dxa"/>
            <w:gridSpan w:val="2"/>
            <w:tcBorders>
              <w:bottom w:val="nil"/>
            </w:tcBorders>
          </w:tcPr>
          <w:p w:rsidR="00791115" w:rsidRPr="00A05F68" w:rsidRDefault="00791115" w:rsidP="00791115">
            <w:pPr>
              <w:jc w:val="center"/>
              <w:rPr>
                <w:rFonts w:cs="Arial"/>
                <w:b/>
                <w:szCs w:val="24"/>
              </w:rPr>
            </w:pPr>
          </w:p>
          <w:p w:rsidR="00791115" w:rsidRPr="00A05F68" w:rsidRDefault="00791115" w:rsidP="00791115">
            <w:pPr>
              <w:jc w:val="center"/>
              <w:rPr>
                <w:rFonts w:cs="Arial"/>
                <w:b/>
                <w:szCs w:val="24"/>
              </w:rPr>
            </w:pPr>
            <w:r w:rsidRPr="00A05F68">
              <w:rPr>
                <w:rFonts w:cs="Arial"/>
                <w:b/>
                <w:szCs w:val="24"/>
              </w:rPr>
              <w:t>HER MAJESTY THE QUEEN</w:t>
            </w:r>
          </w:p>
          <w:p w:rsidR="00791115" w:rsidRPr="00A05F68" w:rsidRDefault="00791115" w:rsidP="00791115">
            <w:pPr>
              <w:jc w:val="center"/>
              <w:rPr>
                <w:rFonts w:cs="Arial"/>
                <w:b/>
                <w:szCs w:val="24"/>
              </w:rPr>
            </w:pPr>
          </w:p>
        </w:tc>
      </w:tr>
      <w:tr w:rsidR="00791115" w:rsidTr="00791115">
        <w:tc>
          <w:tcPr>
            <w:tcW w:w="9468" w:type="dxa"/>
            <w:gridSpan w:val="2"/>
          </w:tcPr>
          <w:p w:rsidR="00791115" w:rsidRDefault="00791115" w:rsidP="00791115">
            <w:pPr>
              <w:rPr>
                <w:rFonts w:cs="Arial"/>
                <w:szCs w:val="24"/>
              </w:rPr>
            </w:pPr>
            <w:r>
              <w:rPr>
                <w:rFonts w:cs="Arial"/>
                <w:szCs w:val="24"/>
              </w:rPr>
              <w:t>AND:</w:t>
            </w:r>
          </w:p>
        </w:tc>
      </w:tr>
      <w:tr w:rsidR="00791115" w:rsidRPr="00A05F68" w:rsidTr="00791115">
        <w:trPr>
          <w:trHeight w:val="900"/>
        </w:trPr>
        <w:tc>
          <w:tcPr>
            <w:tcW w:w="9468" w:type="dxa"/>
            <w:gridSpan w:val="2"/>
            <w:tcBorders>
              <w:bottom w:val="nil"/>
            </w:tcBorders>
            <w:vAlign w:val="center"/>
          </w:tcPr>
          <w:p w:rsidR="00791115" w:rsidRPr="00A05F68" w:rsidRDefault="008F5688" w:rsidP="00791115">
            <w:pPr>
              <w:jc w:val="center"/>
              <w:rPr>
                <w:rFonts w:cs="Arial"/>
                <w:b/>
                <w:szCs w:val="24"/>
              </w:rPr>
            </w:pPr>
            <w:r>
              <w:rPr>
                <w:rFonts w:cs="Arial"/>
                <w:b/>
                <w:szCs w:val="24"/>
              </w:rPr>
              <w:t>DANIEL PETER COLE</w:t>
            </w:r>
          </w:p>
        </w:tc>
      </w:tr>
    </w:tbl>
    <w:p w:rsidR="00791115" w:rsidRDefault="00791115" w:rsidP="00791115">
      <w:pPr>
        <w:rPr>
          <w:rFonts w:cs="Arial"/>
          <w:szCs w:val="24"/>
        </w:rPr>
      </w:pPr>
    </w:p>
    <w:p w:rsidR="00791115" w:rsidRPr="008F5688" w:rsidRDefault="008F5688" w:rsidP="00791115">
      <w:pPr>
        <w:rPr>
          <w:rFonts w:cs="Arial"/>
          <w:b/>
          <w:szCs w:val="24"/>
        </w:rPr>
      </w:pPr>
      <w:r>
        <w:rPr>
          <w:rFonts w:cs="Arial"/>
          <w:b/>
          <w:szCs w:val="24"/>
        </w:rPr>
        <w:t xml:space="preserve">Publication of evidence that could disclose the identity of the complainant has been prohibited by court order pursuant to section 486.4 of the </w:t>
      </w:r>
      <w:r>
        <w:rPr>
          <w:rFonts w:cs="Arial"/>
          <w:b/>
          <w:i/>
          <w:szCs w:val="24"/>
        </w:rPr>
        <w:t>Criminal Code</w:t>
      </w:r>
      <w:r>
        <w:rPr>
          <w:rFonts w:cs="Arial"/>
          <w:b/>
          <w:szCs w:val="24"/>
        </w:rPr>
        <w:t xml:space="preserve">. </w:t>
      </w:r>
    </w:p>
    <w:p w:rsidR="008F5688" w:rsidRDefault="008F5688" w:rsidP="00791115">
      <w:pPr>
        <w:rPr>
          <w:rFonts w:cs="Arial"/>
          <w:szCs w:val="24"/>
        </w:rPr>
      </w:pPr>
    </w:p>
    <w:p w:rsidR="00791115" w:rsidRDefault="00791115" w:rsidP="00791115">
      <w:pPr>
        <w:rPr>
          <w:rFonts w:cs="Arial"/>
          <w:szCs w:val="24"/>
        </w:rPr>
      </w:pPr>
      <w:r>
        <w:rPr>
          <w:rFonts w:cs="Arial"/>
          <w:szCs w:val="24"/>
        </w:rPr>
        <w:t xml:space="preserve">Before:  </w:t>
      </w:r>
      <w:r w:rsidR="00221C5E">
        <w:rPr>
          <w:rFonts w:cs="Arial"/>
          <w:szCs w:val="24"/>
        </w:rPr>
        <w:fldChar w:fldCharType="begin">
          <w:ffData>
            <w:name w:val="Text27"/>
            <w:enabled/>
            <w:calcOnExit w:val="0"/>
            <w:textInput>
              <w:default w:val="Mr. Justice"/>
            </w:textInput>
          </w:ffData>
        </w:fldChar>
      </w:r>
      <w:r>
        <w:rPr>
          <w:rFonts w:cs="Arial"/>
          <w:szCs w:val="24"/>
        </w:rPr>
        <w:instrText xml:space="preserve"> FORMTEXT </w:instrText>
      </w:r>
      <w:r w:rsidR="00221C5E">
        <w:rPr>
          <w:rFonts w:cs="Arial"/>
          <w:szCs w:val="24"/>
        </w:rPr>
      </w:r>
      <w:r w:rsidR="00221C5E">
        <w:rPr>
          <w:rFonts w:cs="Arial"/>
          <w:szCs w:val="24"/>
        </w:rPr>
        <w:fldChar w:fldCharType="separate"/>
      </w:r>
      <w:r>
        <w:rPr>
          <w:rFonts w:cs="Arial"/>
          <w:noProof/>
          <w:szCs w:val="24"/>
        </w:rPr>
        <w:t>Mr. Justice</w:t>
      </w:r>
      <w:r w:rsidR="00221C5E">
        <w:rPr>
          <w:rFonts w:cs="Arial"/>
          <w:szCs w:val="24"/>
        </w:rPr>
        <w:fldChar w:fldCharType="end"/>
      </w:r>
      <w:r>
        <w:rPr>
          <w:rFonts w:cs="Arial"/>
          <w:szCs w:val="24"/>
        </w:rPr>
        <w:t xml:space="preserve"> </w:t>
      </w:r>
      <w:r w:rsidR="008F5688">
        <w:rPr>
          <w:rFonts w:cs="Arial"/>
          <w:szCs w:val="24"/>
        </w:rPr>
        <w:t>L.F. Gower</w:t>
      </w:r>
    </w:p>
    <w:p w:rsidR="00791115" w:rsidRDefault="00791115" w:rsidP="00791115">
      <w:pPr>
        <w:rPr>
          <w:rFonts w:cs="Arial"/>
          <w:szCs w:val="24"/>
        </w:rPr>
      </w:pPr>
    </w:p>
    <w:p w:rsidR="00791115" w:rsidRDefault="00791115" w:rsidP="00791115">
      <w:pPr>
        <w:rPr>
          <w:rFonts w:cs="Arial"/>
          <w:szCs w:val="24"/>
        </w:rPr>
      </w:pPr>
      <w:r>
        <w:rPr>
          <w:rFonts w:cs="Arial"/>
          <w:szCs w:val="24"/>
        </w:rPr>
        <w:t>Appearances:</w:t>
      </w:r>
    </w:p>
    <w:tbl>
      <w:tblPr>
        <w:tblW w:w="9468" w:type="dxa"/>
        <w:tblLayout w:type="fixed"/>
        <w:tblLook w:val="0000" w:firstRow="0" w:lastRow="0" w:firstColumn="0" w:lastColumn="0" w:noHBand="0" w:noVBand="0"/>
      </w:tblPr>
      <w:tblGrid>
        <w:gridCol w:w="4968"/>
        <w:gridCol w:w="4500"/>
      </w:tblGrid>
      <w:tr w:rsidR="00791115" w:rsidTr="00791115">
        <w:trPr>
          <w:trHeight w:val="533"/>
        </w:trPr>
        <w:tc>
          <w:tcPr>
            <w:tcW w:w="4968" w:type="dxa"/>
          </w:tcPr>
          <w:p w:rsidR="00791115" w:rsidRDefault="008F5688" w:rsidP="00791115">
            <w:pPr>
              <w:rPr>
                <w:rFonts w:cs="Arial"/>
                <w:szCs w:val="24"/>
              </w:rPr>
            </w:pPr>
            <w:r>
              <w:rPr>
                <w:rFonts w:cs="Arial"/>
                <w:szCs w:val="24"/>
              </w:rPr>
              <w:t>Noel Sinclair</w:t>
            </w:r>
          </w:p>
          <w:p w:rsidR="00791115" w:rsidRDefault="008F5688" w:rsidP="00791115">
            <w:pPr>
              <w:rPr>
                <w:rFonts w:cs="Arial"/>
                <w:szCs w:val="24"/>
              </w:rPr>
            </w:pPr>
            <w:r>
              <w:rPr>
                <w:rFonts w:cs="Arial"/>
                <w:szCs w:val="24"/>
              </w:rPr>
              <w:t>Michael Sparks</w:t>
            </w:r>
            <w:r w:rsidR="00AE5DD8">
              <w:rPr>
                <w:rFonts w:cs="Arial"/>
                <w:szCs w:val="24"/>
              </w:rPr>
              <w:t xml:space="preserve"> (via teleconference)</w:t>
            </w:r>
          </w:p>
        </w:tc>
        <w:tc>
          <w:tcPr>
            <w:tcW w:w="4500" w:type="dxa"/>
            <w:tcBorders>
              <w:bottom w:val="nil"/>
            </w:tcBorders>
          </w:tcPr>
          <w:p w:rsidR="00791115" w:rsidRDefault="00791115" w:rsidP="00791115">
            <w:pPr>
              <w:jc w:val="right"/>
              <w:rPr>
                <w:rFonts w:cs="Arial"/>
                <w:szCs w:val="24"/>
              </w:rPr>
            </w:pPr>
            <w:r>
              <w:rPr>
                <w:rFonts w:cs="Arial"/>
                <w:szCs w:val="24"/>
              </w:rPr>
              <w:t xml:space="preserve">Counsel for the </w:t>
            </w:r>
            <w:r w:rsidR="003B34B8">
              <w:rPr>
                <w:rFonts w:cs="Arial"/>
                <w:szCs w:val="24"/>
              </w:rPr>
              <w:t>Crown</w:t>
            </w:r>
          </w:p>
          <w:p w:rsidR="00791115" w:rsidRDefault="00791115" w:rsidP="00AE5DD8">
            <w:pPr>
              <w:jc w:val="right"/>
              <w:rPr>
                <w:rFonts w:cs="Arial"/>
                <w:szCs w:val="24"/>
              </w:rPr>
            </w:pPr>
            <w:r>
              <w:rPr>
                <w:rFonts w:cs="Arial"/>
                <w:szCs w:val="24"/>
              </w:rPr>
              <w:t xml:space="preserve">Counsel </w:t>
            </w:r>
            <w:r w:rsidR="003B34B8">
              <w:rPr>
                <w:rFonts w:cs="Arial"/>
                <w:szCs w:val="24"/>
              </w:rPr>
              <w:t>f</w:t>
            </w:r>
            <w:r>
              <w:rPr>
                <w:rFonts w:cs="Arial"/>
                <w:szCs w:val="24"/>
              </w:rPr>
              <w:t>or the</w:t>
            </w:r>
            <w:r w:rsidR="003B34B8">
              <w:rPr>
                <w:rFonts w:cs="Arial"/>
                <w:szCs w:val="24"/>
              </w:rPr>
              <w:t xml:space="preserve"> </w:t>
            </w:r>
            <w:r w:rsidR="00595D4F">
              <w:rPr>
                <w:rFonts w:cs="Arial"/>
                <w:szCs w:val="24"/>
              </w:rPr>
              <w:t>Accused</w:t>
            </w:r>
          </w:p>
        </w:tc>
      </w:tr>
      <w:tr w:rsidR="00791115" w:rsidTr="00791115">
        <w:trPr>
          <w:trHeight w:val="533"/>
        </w:trPr>
        <w:tc>
          <w:tcPr>
            <w:tcW w:w="4968" w:type="dxa"/>
          </w:tcPr>
          <w:p w:rsidR="00791115" w:rsidRDefault="00791115" w:rsidP="00791115">
            <w:pPr>
              <w:rPr>
                <w:rFonts w:cs="Arial"/>
                <w:szCs w:val="24"/>
              </w:rPr>
            </w:pPr>
          </w:p>
        </w:tc>
        <w:tc>
          <w:tcPr>
            <w:tcW w:w="4500" w:type="dxa"/>
            <w:tcBorders>
              <w:bottom w:val="nil"/>
            </w:tcBorders>
          </w:tcPr>
          <w:p w:rsidR="00791115" w:rsidRDefault="00791115" w:rsidP="00791115">
            <w:pPr>
              <w:jc w:val="right"/>
              <w:rPr>
                <w:rFonts w:cs="Arial"/>
                <w:szCs w:val="24"/>
              </w:rPr>
            </w:pPr>
          </w:p>
        </w:tc>
      </w:tr>
      <w:tr w:rsidR="00791115" w:rsidTr="00791115">
        <w:trPr>
          <w:trHeight w:val="900"/>
        </w:trPr>
        <w:tc>
          <w:tcPr>
            <w:tcW w:w="9468" w:type="dxa"/>
            <w:gridSpan w:val="2"/>
            <w:tcBorders>
              <w:bottom w:val="nil"/>
            </w:tcBorders>
            <w:vAlign w:val="center"/>
          </w:tcPr>
          <w:p w:rsidR="00791115" w:rsidRDefault="00791115" w:rsidP="00791115">
            <w:pPr>
              <w:jc w:val="center"/>
              <w:rPr>
                <w:rFonts w:cs="Arial"/>
                <w:b/>
                <w:szCs w:val="24"/>
              </w:rPr>
            </w:pPr>
          </w:p>
          <w:p w:rsidR="00791115" w:rsidRPr="00315A03" w:rsidRDefault="00BE7775" w:rsidP="00791115">
            <w:pPr>
              <w:jc w:val="center"/>
              <w:rPr>
                <w:rFonts w:cs="Arial"/>
                <w:b/>
                <w:i/>
                <w:szCs w:val="24"/>
              </w:rPr>
            </w:pPr>
            <w:r>
              <w:rPr>
                <w:rFonts w:cs="Arial"/>
                <w:b/>
                <w:szCs w:val="24"/>
              </w:rPr>
              <w:t>REASONS FOR JUDGMENT</w:t>
            </w:r>
          </w:p>
          <w:p w:rsidR="00791115" w:rsidRDefault="00791115" w:rsidP="00791115">
            <w:pPr>
              <w:jc w:val="center"/>
              <w:rPr>
                <w:rFonts w:cs="Arial"/>
                <w:b/>
                <w:szCs w:val="24"/>
              </w:rPr>
            </w:pPr>
            <w:r>
              <w:rPr>
                <w:rFonts w:cs="Arial"/>
                <w:b/>
                <w:szCs w:val="24"/>
              </w:rPr>
              <w:t>DELIVERED FROM THE BENCH</w:t>
            </w:r>
          </w:p>
          <w:p w:rsidR="00791115" w:rsidRDefault="00791115" w:rsidP="00791115">
            <w:pPr>
              <w:jc w:val="center"/>
              <w:rPr>
                <w:rFonts w:cs="Arial"/>
                <w:b/>
                <w:szCs w:val="24"/>
              </w:rPr>
            </w:pPr>
          </w:p>
        </w:tc>
      </w:tr>
      <w:tr w:rsidR="00791115" w:rsidTr="00791115">
        <w:tc>
          <w:tcPr>
            <w:tcW w:w="9468" w:type="dxa"/>
            <w:gridSpan w:val="2"/>
          </w:tcPr>
          <w:p w:rsidR="00791115" w:rsidRDefault="00791115" w:rsidP="00791115">
            <w:pPr>
              <w:jc w:val="right"/>
              <w:rPr>
                <w:rFonts w:cs="Arial"/>
                <w:szCs w:val="24"/>
              </w:rPr>
            </w:pPr>
          </w:p>
        </w:tc>
      </w:tr>
    </w:tbl>
    <w:p w:rsidR="008F5688" w:rsidRDefault="008F5688" w:rsidP="00AE5DD8">
      <w:pPr>
        <w:pStyle w:val="NormalNumber"/>
        <w:tabs>
          <w:tab w:val="left" w:pos="3600"/>
        </w:tabs>
      </w:pPr>
      <w:r>
        <w:t>GOWER</w:t>
      </w:r>
      <w:r w:rsidR="003B34B8">
        <w:t xml:space="preserve"> </w:t>
      </w:r>
      <w:r w:rsidR="003B34B8" w:rsidRPr="00A25649">
        <w:t>J</w:t>
      </w:r>
      <w:r w:rsidR="003B34B8">
        <w:t>.</w:t>
      </w:r>
      <w:r w:rsidR="003B34B8" w:rsidRPr="00A25649">
        <w:t xml:space="preserve"> (Oral):</w:t>
      </w:r>
      <w:r>
        <w:tab/>
        <w:t xml:space="preserve">This is an application by the accused, Daniel Peter Cole, under s. 520 of the </w:t>
      </w:r>
      <w:r>
        <w:rPr>
          <w:i/>
        </w:rPr>
        <w:t>Criminal Code</w:t>
      </w:r>
      <w:r w:rsidR="00AE5DD8">
        <w:rPr>
          <w:i/>
        </w:rPr>
        <w:t>,</w:t>
      </w:r>
      <w:r>
        <w:t xml:space="preserve"> to vary a condition of his recognizance, dated January 18, 2013. In partic</w:t>
      </w:r>
      <w:r w:rsidR="00AE5DD8">
        <w:t xml:space="preserve">ular, he seeks to remove the no </w:t>
      </w:r>
      <w:r>
        <w:t>contact condition with respect to L.T., who is the mother o</w:t>
      </w:r>
      <w:r w:rsidR="00963C76">
        <w:t xml:space="preserve">f the five-year-old complainant. </w:t>
      </w:r>
      <w:r>
        <w:t xml:space="preserve">Ms. T. says that she has been in a relationship with the accused since the end of September 2012. The application is opposed by the Crown. </w:t>
      </w:r>
    </w:p>
    <w:p w:rsidR="008F5688" w:rsidRDefault="008F5688" w:rsidP="00AE5DD8">
      <w:pPr>
        <w:pStyle w:val="NormalNumber"/>
        <w:tabs>
          <w:tab w:val="left" w:pos="3600"/>
        </w:tabs>
      </w:pPr>
      <w:r>
        <w:lastRenderedPageBreak/>
        <w:t>I have to say that, much the same way as the Territorial Court Judge stated at the original bail hearing, this issue is right on the line with me. I have a couple of concerns right off the bat. One is the issue of probable indirect contact between the accused and L.T. having occurred</w:t>
      </w:r>
      <w:r w:rsidR="00F5002E">
        <w:t xml:space="preserve"> </w:t>
      </w:r>
      <w:r>
        <w:t>since the recognizance was put in place</w:t>
      </w:r>
      <w:r w:rsidR="0068429D">
        <w:t>,</w:t>
      </w:r>
      <w:r>
        <w:t xml:space="preserve"> through his father.  The evidence of the accused to that effect on this application strongly suggests that there has been such indirect contact. The evidence of L.T. in that regard was more dismissive, but it seems to me unlikely and improbable that the accused would be able to state in his affidavit that, to his knowledge, L.T. wishes to have full-contact with him, if somehow that was not conveyed to him through his father.  </w:t>
      </w:r>
      <w:r w:rsidR="0068429D">
        <w:t>The same goes for the attendance of L.T. at this hearing.</w:t>
      </w:r>
    </w:p>
    <w:p w:rsidR="003B34B8" w:rsidRDefault="008F5688" w:rsidP="00AE5DD8">
      <w:pPr>
        <w:pStyle w:val="NormalNumber"/>
        <w:tabs>
          <w:tab w:val="left" w:pos="3600"/>
        </w:tabs>
      </w:pPr>
      <w:r>
        <w:t xml:space="preserve">The other thing that concerns me in this application is </w:t>
      </w:r>
      <w:r w:rsidR="00963C76">
        <w:t>the</w:t>
      </w:r>
      <w:r>
        <w:t xml:space="preserve"> apparent instability of L.T. </w:t>
      </w:r>
      <w:r w:rsidR="0068429D">
        <w:t xml:space="preserve"> </w:t>
      </w:r>
      <w:r>
        <w:t>As indicated in the Bail Supervisio</w:t>
      </w:r>
      <w:r w:rsidR="0068429D">
        <w:t>n Report, which was before the j</w:t>
      </w:r>
      <w:r>
        <w:t>udge below, on December 19, 2012, Ms. T.</w:t>
      </w:r>
      <w:r w:rsidR="00137F47">
        <w:t xml:space="preserve"> contacted the Victim Services worker and indicated that she in no way wanted contact with Mr. Cole; did not want him to be released from jail; and was fearful for her own safety because of his anger issues. </w:t>
      </w:r>
      <w:r w:rsidR="0068429D">
        <w:t xml:space="preserve"> T</w:t>
      </w:r>
      <w:r w:rsidR="00137F47">
        <w:t>hen on January 4, 2013, the Victim Services worker was advised that th</w:t>
      </w:r>
      <w:r w:rsidR="003644BF">
        <w:t>e</w:t>
      </w:r>
      <w:r w:rsidR="00137F47">
        <w:t xml:space="preserve"> mother of the alleged victim now wanted contact </w:t>
      </w:r>
      <w:r w:rsidR="003644BF">
        <w:t xml:space="preserve">with </w:t>
      </w:r>
      <w:r w:rsidR="00137F47">
        <w:t>Mr. Cole and no longe</w:t>
      </w:r>
      <w:r w:rsidR="0068429D">
        <w:t>r believed him to be a threat.</w:t>
      </w:r>
      <w:r w:rsidR="009F6C5F">
        <w:t xml:space="preserve"> </w:t>
      </w:r>
      <w:r w:rsidR="0068429D">
        <w:t>Ms. T. explains her inconsistency in that regard as due to the fact that she was on certain medications in mid-December of 2012, which caused her to react in behaviourally strange ways.</w:t>
      </w:r>
    </w:p>
    <w:p w:rsidR="00137F47" w:rsidRDefault="00137F47" w:rsidP="00AE5DD8">
      <w:pPr>
        <w:pStyle w:val="NormalNumber"/>
        <w:tabs>
          <w:tab w:val="left" w:pos="3600"/>
        </w:tabs>
      </w:pPr>
      <w:r>
        <w:t>On the other hand, it does strike me that I have to keep in mind the presumption of innocence here; I have to keep in mind the principle that the Court should impose the least intrusive conditions on the parties that is consistent with the protection of the public and the proper admi</w:t>
      </w:r>
      <w:r w:rsidR="009F6C5F">
        <w:t xml:space="preserve">nistration of justice. </w:t>
      </w:r>
      <w:r>
        <w:t xml:space="preserve">I am thinking here about interfering with </w:t>
      </w:r>
      <w:r>
        <w:lastRenderedPageBreak/>
        <w:t xml:space="preserve">what is apparently a close, intimate relationship between the accused and Ms. T., both of whom are consenting adults, without some cogent and compelling reason to do so.  </w:t>
      </w:r>
    </w:p>
    <w:p w:rsidR="0068429D" w:rsidRDefault="00137F47" w:rsidP="00AE5DD8">
      <w:pPr>
        <w:pStyle w:val="NormalNumber"/>
        <w:tabs>
          <w:tab w:val="left" w:pos="0"/>
          <w:tab w:val="left" w:pos="3600"/>
        </w:tabs>
      </w:pPr>
      <w:r>
        <w:t xml:space="preserve">Now, the Crown </w:t>
      </w:r>
      <w:r w:rsidR="00945A55">
        <w:t>tells me that their concern, primarily,</w:t>
      </w:r>
      <w:r>
        <w:t xml:space="preserve"> is that although Ms. T. is not exactly what one would call a material witness, which was the wo</w:t>
      </w:r>
      <w:r w:rsidR="00945A55">
        <w:t>rd used in the hearing below</w:t>
      </w:r>
      <w:r w:rsidR="0068429D">
        <w:t>,</w:t>
      </w:r>
      <w:r w:rsidR="00945A55">
        <w:t xml:space="preserve"> </w:t>
      </w:r>
      <w:r>
        <w:t>because she has no eyewitne</w:t>
      </w:r>
      <w:r w:rsidR="00945A55">
        <w:t>ss evidence, no direct evidence,</w:t>
      </w:r>
      <w:r>
        <w:t xml:space="preserve"> she is nevertheless important because she will set t</w:t>
      </w:r>
      <w:r w:rsidR="00945A55">
        <w:t xml:space="preserve">he context of times, dates, </w:t>
      </w:r>
      <w:r>
        <w:t>places</w:t>
      </w:r>
      <w:r w:rsidR="00945A55">
        <w:t>,</w:t>
      </w:r>
      <w:r>
        <w:t xml:space="preserve"> relationships</w:t>
      </w:r>
      <w:r w:rsidR="002961D6">
        <w:t>,</w:t>
      </w:r>
      <w:r>
        <w:t xml:space="preserve"> and opportunities that the accused had to have contact with the complainant. S</w:t>
      </w:r>
      <w:r w:rsidR="00945A55">
        <w:t>o</w:t>
      </w:r>
      <w:r w:rsidR="00426375">
        <w:t>,</w:t>
      </w:r>
      <w:r w:rsidR="009F6C5F">
        <w:t xml:space="preserve"> while she is an important witness,</w:t>
      </w:r>
      <w:r w:rsidR="00945A55">
        <w:t xml:space="preserve"> </w:t>
      </w:r>
      <w:r>
        <w:t xml:space="preserve">I would not describe her as material. </w:t>
      </w:r>
    </w:p>
    <w:p w:rsidR="0068429D" w:rsidRDefault="00137F47" w:rsidP="00AE5DD8">
      <w:pPr>
        <w:pStyle w:val="NormalNumber"/>
        <w:tabs>
          <w:tab w:val="left" w:pos="0"/>
          <w:tab w:val="left" w:pos="3600"/>
        </w:tabs>
      </w:pPr>
      <w:r>
        <w:t xml:space="preserve">The other concern from the Crown is that </w:t>
      </w:r>
      <w:r w:rsidR="00945A55">
        <w:t>there is a genuine risk here of indirect influence from the accused to the complainant through Ms. T., and I am alive to that concern. On the other hand, the contact that Ms. T. will have with her child from this point forward, I am told, will be limited to supervised visits only</w:t>
      </w:r>
      <w:r w:rsidR="009F6C5F">
        <w:t>.</w:t>
      </w:r>
      <w:r w:rsidR="00945A55">
        <w:t xml:space="preserve"> </w:t>
      </w:r>
      <w:r w:rsidR="009F6C5F">
        <w:t>A</w:t>
      </w:r>
      <w:r w:rsidR="00945A55">
        <w:t>rra</w:t>
      </w:r>
      <w:r w:rsidR="002961D6">
        <w:t>nge</w:t>
      </w:r>
      <w:r w:rsidR="00945A55">
        <w:t>ments have been put in place, or will soon be put in place, effectively giving custody of the complainant to Ms. T.’s mother</w:t>
      </w:r>
      <w:r w:rsidR="009F6C5F">
        <w:t>.</w:t>
      </w:r>
      <w:r w:rsidR="00945A55">
        <w:t xml:space="preserve"> </w:t>
      </w:r>
      <w:r w:rsidR="009F6C5F">
        <w:t>T</w:t>
      </w:r>
      <w:r w:rsidR="00945A55">
        <w:t>here are plans for Ms. T. to have weekly visits with the child, but on a supervised basis only.  So</w:t>
      </w:r>
      <w:r w:rsidR="009F6C5F">
        <w:t>,</w:t>
      </w:r>
      <w:r w:rsidR="00945A55">
        <w:t xml:space="preserve"> if the concern is that the mother in some way is going to speak of the accused in a way that might influence </w:t>
      </w:r>
      <w:r w:rsidR="0068429D">
        <w:t>the</w:t>
      </w:r>
      <w:r w:rsidR="00945A55">
        <w:t xml:space="preserve"> child’s testimony, then it seems to me that it is the duty of Family and Children’s Services to be alive to that concern as well</w:t>
      </w:r>
      <w:r w:rsidR="0068429D">
        <w:t>,</w:t>
      </w:r>
      <w:r w:rsidR="00945A55">
        <w:t xml:space="preserve"> and prevent that from happening.  There has already been </w:t>
      </w:r>
      <w:r w:rsidR="00426375">
        <w:t>a</w:t>
      </w:r>
      <w:r w:rsidR="00945A55">
        <w:t xml:space="preserve"> reference to an incident during a previous visit between the mother and the child, where the mother was showing the child</w:t>
      </w:r>
      <w:r w:rsidR="00963C76">
        <w:t xml:space="preserve"> some photographs on her s</w:t>
      </w:r>
      <w:r w:rsidR="00595D4F">
        <w:t>martp</w:t>
      </w:r>
      <w:r w:rsidR="00945A55">
        <w:t>hone and</w:t>
      </w:r>
      <w:r w:rsidR="0068429D">
        <w:t>,</w:t>
      </w:r>
      <w:r w:rsidR="00945A55">
        <w:t xml:space="preserve"> she says by accident, a photograph of the accused came up which prompted a comment by the child about “missing Dan</w:t>
      </w:r>
      <w:r w:rsidR="009F6C5F">
        <w:t>.</w:t>
      </w:r>
      <w:r w:rsidR="00945A55">
        <w:t xml:space="preserve">” </w:t>
      </w:r>
      <w:r w:rsidR="009F6C5F">
        <w:t>However,</w:t>
      </w:r>
      <w:r w:rsidR="00945A55">
        <w:t xml:space="preserve"> the mother’s re</w:t>
      </w:r>
      <w:r w:rsidR="002961D6">
        <w:t>s</w:t>
      </w:r>
      <w:r w:rsidR="00945A55">
        <w:t>po</w:t>
      </w:r>
      <w:r w:rsidR="002961D6">
        <w:t>n</w:t>
      </w:r>
      <w:r w:rsidR="00945A55">
        <w:t>se to that was dismissive</w:t>
      </w:r>
      <w:r w:rsidR="003052BD">
        <w:t>,</w:t>
      </w:r>
      <w:r w:rsidR="00945A55">
        <w:t xml:space="preserve"> to change the subject, and to move on. There was no conversation engaged at that point. </w:t>
      </w:r>
    </w:p>
    <w:p w:rsidR="00F67083" w:rsidRDefault="00945A55" w:rsidP="00AE5DD8">
      <w:pPr>
        <w:pStyle w:val="NormalNumber"/>
        <w:tabs>
          <w:tab w:val="left" w:pos="0"/>
          <w:tab w:val="left" w:pos="3600"/>
        </w:tabs>
      </w:pPr>
      <w:r>
        <w:lastRenderedPageBreak/>
        <w:t>Now, from the evidence of the mother</w:t>
      </w:r>
      <w:r w:rsidR="0068429D">
        <w:t>,</w:t>
      </w:r>
      <w:r>
        <w:t xml:space="preserve"> </w:t>
      </w:r>
      <w:r w:rsidR="009F6C5F">
        <w:t xml:space="preserve">it also sounded </w:t>
      </w:r>
      <w:r>
        <w:t>as though, at that very point in time, the supervisor may have been outside of the office</w:t>
      </w:r>
      <w:r w:rsidR="003052BD">
        <w:t>,</w:t>
      </w:r>
      <w:r>
        <w:t xml:space="preserve"> bu</w:t>
      </w:r>
      <w:r w:rsidR="00F67083">
        <w:t xml:space="preserve">t within earshot. </w:t>
      </w:r>
      <w:r>
        <w:t>I would urge Family and Children’s Services to perhaps take a more hands on approach with the idea of supervision given the context of this case and the significant concerns regarding any conversation taking place between the mother and the child about</w:t>
      </w:r>
      <w:r w:rsidR="00F67083">
        <w:t xml:space="preserve"> the accused. </w:t>
      </w:r>
    </w:p>
    <w:p w:rsidR="00945A55" w:rsidRDefault="009F6C5F" w:rsidP="00AE5DD8">
      <w:pPr>
        <w:pStyle w:val="NormalNumber"/>
        <w:tabs>
          <w:tab w:val="left" w:pos="3600"/>
        </w:tabs>
      </w:pPr>
      <w:r>
        <w:t>I</w:t>
      </w:r>
      <w:r w:rsidR="00945A55">
        <w:t>f</w:t>
      </w:r>
      <w:r w:rsidR="00F67083">
        <w:t xml:space="preserve"> that concern can be addressed, </w:t>
      </w:r>
      <w:r w:rsidR="00945A55">
        <w:t xml:space="preserve">and I </w:t>
      </w:r>
      <w:r w:rsidR="00F67083">
        <w:t xml:space="preserve">assume it can be, </w:t>
      </w:r>
      <w:r w:rsidR="0068429D">
        <w:t>and</w:t>
      </w:r>
      <w:r>
        <w:t xml:space="preserve"> as</w:t>
      </w:r>
      <w:r w:rsidR="0068429D">
        <w:t xml:space="preserve"> </w:t>
      </w:r>
      <w:r>
        <w:t xml:space="preserve">that </w:t>
      </w:r>
      <w:r w:rsidR="00F67083">
        <w:t>is the main concern,</w:t>
      </w:r>
      <w:r>
        <w:t xml:space="preserve"> i.e.</w:t>
      </w:r>
      <w:r w:rsidR="00F67083">
        <w:t xml:space="preserve"> </w:t>
      </w:r>
      <w:r w:rsidR="00945A55">
        <w:t>that the child would be influen</w:t>
      </w:r>
      <w:r w:rsidR="00F67083">
        <w:t>ced by the mother during visits,</w:t>
      </w:r>
      <w:r w:rsidR="00945A55">
        <w:t xml:space="preserve"> then it seems to me that the accused has made his case for a variatio</w:t>
      </w:r>
      <w:r w:rsidR="00F67083">
        <w:t>n on a balance of probabilities</w:t>
      </w:r>
      <w:r>
        <w:t>. So</w:t>
      </w:r>
      <w:r w:rsidR="00426375">
        <w:t>,</w:t>
      </w:r>
      <w:r w:rsidR="00F67083">
        <w:t xml:space="preserve"> I</w:t>
      </w:r>
      <w:r>
        <w:t xml:space="preserve"> will make that order and </w:t>
      </w:r>
      <w:r w:rsidR="00E51DE0">
        <w:t>delete</w:t>
      </w:r>
      <w:r w:rsidR="00945A55">
        <w:t xml:space="preserve"> L.T. from</w:t>
      </w:r>
      <w:r w:rsidR="00F67083">
        <w:t xml:space="preserve"> what i</w:t>
      </w:r>
      <w:r w:rsidR="0068429D">
        <w:t>s currently C</w:t>
      </w:r>
      <w:r w:rsidR="00F67083">
        <w:t>ondition 6 o</w:t>
      </w:r>
      <w:r>
        <w:t>n the recognizance. B</w:t>
      </w:r>
      <w:r w:rsidR="00945A55">
        <w:t>ut</w:t>
      </w:r>
      <w:r>
        <w:t>,</w:t>
      </w:r>
      <w:r w:rsidR="00945A55">
        <w:t xml:space="preserve"> I will add, and this is with the consent of both counsel, to </w:t>
      </w:r>
      <w:r w:rsidR="00F67083">
        <w:t xml:space="preserve">the last sentence in </w:t>
      </w:r>
      <w:r w:rsidR="00945A55">
        <w:t>condition 7</w:t>
      </w:r>
      <w:r w:rsidR="00F67083">
        <w:t xml:space="preserve">: </w:t>
      </w:r>
    </w:p>
    <w:p w:rsidR="00791115" w:rsidRDefault="00F67083" w:rsidP="0068429D">
      <w:pPr>
        <w:pStyle w:val="NormalNumber"/>
        <w:numPr>
          <w:ilvl w:val="0"/>
          <w:numId w:val="0"/>
        </w:numPr>
        <w:tabs>
          <w:tab w:val="num" w:pos="720"/>
          <w:tab w:val="left" w:pos="3600"/>
        </w:tabs>
        <w:ind w:left="1440" w:hanging="720"/>
        <w:rPr>
          <w:rFonts w:cs="Arial"/>
          <w:szCs w:val="24"/>
        </w:rPr>
      </w:pPr>
      <w:r>
        <w:rPr>
          <w:rFonts w:cs="Arial"/>
          <w:szCs w:val="24"/>
        </w:rPr>
        <w:t>7.</w:t>
      </w:r>
      <w:r>
        <w:rPr>
          <w:rFonts w:cs="Arial"/>
          <w:szCs w:val="24"/>
        </w:rPr>
        <w:tab/>
        <w:t xml:space="preserve">… not to attend at or near the schools </w:t>
      </w:r>
      <w:r w:rsidRPr="00F5002E">
        <w:rPr>
          <w:rFonts w:cs="Arial"/>
          <w:szCs w:val="24"/>
        </w:rPr>
        <w:t>of C.D</w:t>
      </w:r>
      <w:r w:rsidR="0068429D" w:rsidRPr="00F5002E">
        <w:rPr>
          <w:rFonts w:cs="Arial"/>
          <w:szCs w:val="24"/>
        </w:rPr>
        <w:t>.</w:t>
      </w:r>
      <w:r w:rsidRPr="00F5002E">
        <w:rPr>
          <w:rFonts w:cs="Arial"/>
          <w:szCs w:val="24"/>
        </w:rPr>
        <w:t>, S.D</w:t>
      </w:r>
      <w:r w:rsidR="0068429D" w:rsidRPr="00F5002E">
        <w:rPr>
          <w:rFonts w:cs="Arial"/>
          <w:szCs w:val="24"/>
        </w:rPr>
        <w:t>.</w:t>
      </w:r>
      <w:r w:rsidRPr="00F5002E">
        <w:rPr>
          <w:rFonts w:cs="Arial"/>
          <w:szCs w:val="24"/>
        </w:rPr>
        <w:t>,</w:t>
      </w:r>
      <w:r>
        <w:rPr>
          <w:rFonts w:cs="Arial"/>
          <w:szCs w:val="24"/>
        </w:rPr>
        <w:t xml:space="preserve"> or B.T. </w:t>
      </w:r>
    </w:p>
    <w:p w:rsidR="00F67083" w:rsidRDefault="00595D4F" w:rsidP="00AE5DD8">
      <w:pPr>
        <w:pStyle w:val="NormalNumber"/>
      </w:pPr>
      <w:r>
        <w:t>Counsel, have I omitted anything?</w:t>
      </w:r>
    </w:p>
    <w:p w:rsidR="00595D4F" w:rsidRDefault="00595D4F" w:rsidP="00AE5DD8">
      <w:pPr>
        <w:pStyle w:val="NormalNumber"/>
      </w:pPr>
      <w:r>
        <w:t>MR. SPARKS:</w:t>
      </w:r>
      <w:r>
        <w:tab/>
      </w:r>
      <w:r>
        <w:tab/>
        <w:t>My Lord, just with condition number 7, would you delete L.T.’s name from that also?</w:t>
      </w:r>
    </w:p>
    <w:p w:rsidR="0068429D" w:rsidRDefault="00595D4F" w:rsidP="00AE5DD8">
      <w:pPr>
        <w:pStyle w:val="NormalNumber"/>
      </w:pPr>
      <w:r>
        <w:t>THE COURT:</w:t>
      </w:r>
      <w:r>
        <w:tab/>
      </w:r>
      <w:r>
        <w:tab/>
        <w:t>Yes, thank you</w:t>
      </w:r>
      <w:r w:rsidR="00DE267A">
        <w:t xml:space="preserve"> for that. </w:t>
      </w:r>
      <w:r>
        <w:t xml:space="preserve">I will make that order. </w:t>
      </w:r>
    </w:p>
    <w:p w:rsidR="008D7510" w:rsidRDefault="00DE267A" w:rsidP="00AE5DD8">
      <w:pPr>
        <w:pStyle w:val="NormalNumber"/>
      </w:pPr>
      <w:r>
        <w:t>I should add that another consideration that I had was that there is indeed</w:t>
      </w:r>
      <w:r w:rsidR="0068429D">
        <w:t>,</w:t>
      </w:r>
      <w:r>
        <w:t xml:space="preserve"> apparently</w:t>
      </w:r>
      <w:r w:rsidR="0068429D">
        <w:t>,</w:t>
      </w:r>
      <w:r w:rsidR="00963C76">
        <w:t xml:space="preserve"> a lot of good</w:t>
      </w:r>
      <w:r>
        <w:t>will expressed by Ms. T. about what she described as her boyfriend, the accused.  It doe</w:t>
      </w:r>
      <w:r w:rsidR="00963C76">
        <w:t>s not seem to me that that good</w:t>
      </w:r>
      <w:r>
        <w:t xml:space="preserve">will is going to change if I </w:t>
      </w:r>
      <w:r>
        <w:lastRenderedPageBreak/>
        <w:t>prevent them from having contact on a going forward basis. So</w:t>
      </w:r>
      <w:r w:rsidR="009F6C5F">
        <w:t>,</w:t>
      </w:r>
      <w:r>
        <w:t xml:space="preserve"> that was a consideration that I </w:t>
      </w:r>
      <w:r w:rsidR="00963C76">
        <w:t>also had</w:t>
      </w:r>
      <w:r>
        <w:t xml:space="preserve"> in mind</w:t>
      </w:r>
      <w:r w:rsidR="003052BD">
        <w:t>.</w:t>
      </w:r>
    </w:p>
    <w:p w:rsidR="00595D4F" w:rsidRDefault="008D7510" w:rsidP="00AE5DD8">
      <w:pPr>
        <w:pStyle w:val="NormalNumber"/>
      </w:pPr>
      <w:r>
        <w:t>T</w:t>
      </w:r>
      <w:r w:rsidR="00DE267A">
        <w:t>he other thing that I wanted to say directly to the accused is that indirect contact means exactly that. You are to have no contact directly or indirectly with any of the persons that are named in this recognizance as will be amended from today. That means you cannot pass messages along directly through your father or anyone else, and I want you to respect that</w:t>
      </w:r>
      <w:r>
        <w:t>,</w:t>
      </w:r>
      <w:r w:rsidR="00DE267A">
        <w:t xml:space="preserve"> because if there is any suggestion of further indirect contact, the</w:t>
      </w:r>
      <w:r w:rsidR="003052BD">
        <w:t xml:space="preserve">n you can expect to be breached, </w:t>
      </w:r>
      <w:r w:rsidR="00DE267A">
        <w:t>put into jail</w:t>
      </w:r>
      <w:r w:rsidR="003052BD">
        <w:t>,</w:t>
      </w:r>
      <w:r w:rsidR="00DE267A">
        <w:t xml:space="preserve"> and held in custody.  You understand that?</w:t>
      </w:r>
    </w:p>
    <w:p w:rsidR="00DE267A" w:rsidRDefault="00DE267A" w:rsidP="00AE5DD8">
      <w:pPr>
        <w:pStyle w:val="NormalNumber"/>
      </w:pPr>
      <w:r>
        <w:t>THE ACCUSED:</w:t>
      </w:r>
      <w:r>
        <w:tab/>
      </w:r>
      <w:r>
        <w:tab/>
        <w:t xml:space="preserve">I understand, sir. </w:t>
      </w:r>
    </w:p>
    <w:p w:rsidR="00DE267A" w:rsidRDefault="00DE267A" w:rsidP="00AE5DD8">
      <w:pPr>
        <w:pStyle w:val="NormalNumber"/>
      </w:pPr>
      <w:r>
        <w:t>THE COURT:</w:t>
      </w:r>
      <w:r>
        <w:tab/>
      </w:r>
      <w:r>
        <w:tab/>
        <w:t xml:space="preserve">Okay. </w:t>
      </w:r>
    </w:p>
    <w:p w:rsidR="00DE267A" w:rsidRDefault="00DE267A" w:rsidP="00AE5DD8">
      <w:pPr>
        <w:pStyle w:val="NormalNumber"/>
      </w:pPr>
      <w:r>
        <w:t>MR. SINCLAIR:</w:t>
      </w:r>
      <w:r>
        <w:tab/>
      </w:r>
      <w:r>
        <w:tab/>
        <w:t>My Lord, I would also invite the Court to remind      Mr. Cole that there is a residency requirement in this order and a curfew requirement, an</w:t>
      </w:r>
      <w:r w:rsidR="003052BD">
        <w:t xml:space="preserve">d he had given evidence about </w:t>
      </w:r>
      <w:r>
        <w:t>wanting to spend weekends with his girlfriend</w:t>
      </w:r>
      <w:r w:rsidR="008D7510">
        <w:t>,</w:t>
      </w:r>
      <w:r>
        <w:t xml:space="preserve"> and I think that that is off limits based on the existing or</w:t>
      </w:r>
      <w:r w:rsidR="00D70B8B">
        <w:t xml:space="preserve">der. </w:t>
      </w:r>
      <w:r w:rsidR="00DF25DF">
        <w:t>That h</w:t>
      </w:r>
      <w:r>
        <w:t>e needs --</w:t>
      </w:r>
    </w:p>
    <w:p w:rsidR="00DE267A" w:rsidRDefault="00DE267A" w:rsidP="00AE5DD8">
      <w:pPr>
        <w:pStyle w:val="NormalNumber"/>
      </w:pPr>
      <w:r>
        <w:t>THE COURT:</w:t>
      </w:r>
      <w:r>
        <w:tab/>
      </w:r>
      <w:r>
        <w:tab/>
        <w:t>Would not prevent her from going to the Walnut --</w:t>
      </w:r>
    </w:p>
    <w:p w:rsidR="00DE267A" w:rsidRDefault="00DE267A" w:rsidP="00AE5DD8">
      <w:pPr>
        <w:pStyle w:val="NormalNumber"/>
      </w:pPr>
      <w:r>
        <w:t>MR. SINCLAIR:</w:t>
      </w:r>
      <w:r>
        <w:tab/>
      </w:r>
      <w:r>
        <w:tab/>
        <w:t xml:space="preserve">It would not prevent that, no. </w:t>
      </w:r>
    </w:p>
    <w:p w:rsidR="00D70B8B" w:rsidRDefault="00DE267A" w:rsidP="00AE5DD8">
      <w:pPr>
        <w:pStyle w:val="NormalNumber"/>
      </w:pPr>
      <w:r>
        <w:t>THE COURT:</w:t>
      </w:r>
      <w:r>
        <w:tab/>
      </w:r>
      <w:r>
        <w:tab/>
        <w:t>-- Drive residence</w:t>
      </w:r>
      <w:r w:rsidR="00D70B8B">
        <w:t xml:space="preserve"> --</w:t>
      </w:r>
    </w:p>
    <w:p w:rsidR="00D70B8B" w:rsidRDefault="00D70B8B" w:rsidP="00AE5DD8">
      <w:pPr>
        <w:pStyle w:val="NormalNumber"/>
      </w:pPr>
      <w:r>
        <w:t>MR. SINCLAIR:</w:t>
      </w:r>
      <w:r>
        <w:tab/>
      </w:r>
      <w:r>
        <w:tab/>
        <w:t>That’s correct.</w:t>
      </w:r>
    </w:p>
    <w:p w:rsidR="00DE267A" w:rsidRDefault="00D70B8B" w:rsidP="00AE5DD8">
      <w:pPr>
        <w:pStyle w:val="NormalNumber"/>
      </w:pPr>
      <w:r>
        <w:lastRenderedPageBreak/>
        <w:t>THE COURT:</w:t>
      </w:r>
      <w:r>
        <w:tab/>
      </w:r>
      <w:r>
        <w:tab/>
        <w:t xml:space="preserve">-- and that was what </w:t>
      </w:r>
      <w:r w:rsidR="00963C76">
        <w:t xml:space="preserve">Ms. </w:t>
      </w:r>
      <w:r>
        <w:t>T. stated in her evidence.        Mr. Cole, do you understand?</w:t>
      </w:r>
    </w:p>
    <w:p w:rsidR="008D7510" w:rsidRDefault="00D70B8B" w:rsidP="008D7510">
      <w:pPr>
        <w:pStyle w:val="NormalNumber"/>
      </w:pPr>
      <w:r>
        <w:t>THE ACCUSED:</w:t>
      </w:r>
      <w:r>
        <w:tab/>
      </w:r>
      <w:r>
        <w:tab/>
        <w:t xml:space="preserve">Yeah, to do it at my </w:t>
      </w:r>
      <w:r w:rsidR="00DF25DF">
        <w:t>83</w:t>
      </w:r>
      <w:r>
        <w:t xml:space="preserve"> Walnut Crescent house, not there</w:t>
      </w:r>
      <w:r w:rsidR="008D7510">
        <w:t>,</w:t>
      </w:r>
      <w:r>
        <w:t xml:space="preserve"> because I have a curfew at 6:00</w:t>
      </w:r>
      <w:r w:rsidR="00DF25DF">
        <w:t>, yes</w:t>
      </w:r>
      <w:r w:rsidR="008D7510">
        <w:t>, I understand that.</w:t>
      </w:r>
    </w:p>
    <w:p w:rsidR="00D70B8B" w:rsidRDefault="00D70B8B" w:rsidP="00AE5DD8">
      <w:pPr>
        <w:pStyle w:val="NormalNumber"/>
        <w:spacing w:after="480"/>
      </w:pPr>
      <w:r>
        <w:t>THE COURT:</w:t>
      </w:r>
      <w:r>
        <w:tab/>
      </w:r>
      <w:r>
        <w:tab/>
        <w:t>Okay.</w:t>
      </w:r>
    </w:p>
    <w:p w:rsidR="00791115" w:rsidRDefault="00791115" w:rsidP="008D7510">
      <w:pPr>
        <w:tabs>
          <w:tab w:val="left" w:pos="5040"/>
        </w:tabs>
        <w:spacing w:after="120"/>
        <w:rPr>
          <w:rFonts w:cs="Arial"/>
          <w:szCs w:val="24"/>
        </w:rPr>
      </w:pPr>
      <w:r>
        <w:rPr>
          <w:rFonts w:cs="Arial"/>
          <w:szCs w:val="24"/>
        </w:rPr>
        <w:tab/>
        <w:t>________________________________</w:t>
      </w:r>
    </w:p>
    <w:p w:rsidR="004458A7" w:rsidRPr="00D70B8B" w:rsidRDefault="00791115" w:rsidP="00D70B8B">
      <w:pPr>
        <w:tabs>
          <w:tab w:val="left" w:pos="5040"/>
        </w:tabs>
        <w:rPr>
          <w:rFonts w:cs="Arial"/>
          <w:szCs w:val="24"/>
        </w:rPr>
      </w:pPr>
      <w:r>
        <w:rPr>
          <w:rFonts w:cs="Arial"/>
          <w:szCs w:val="24"/>
        </w:rPr>
        <w:tab/>
      </w:r>
      <w:r w:rsidR="008F5688">
        <w:rPr>
          <w:rFonts w:cs="Arial"/>
          <w:szCs w:val="24"/>
        </w:rPr>
        <w:t>GOWER</w:t>
      </w:r>
      <w:r>
        <w:rPr>
          <w:rFonts w:cs="Arial"/>
          <w:szCs w:val="24"/>
        </w:rPr>
        <w:t xml:space="preserve"> J.</w:t>
      </w:r>
      <w:bookmarkEnd w:id="0"/>
    </w:p>
    <w:sectPr w:rsidR="004458A7" w:rsidRPr="00D70B8B" w:rsidSect="006C39D7">
      <w:headerReference w:type="defaul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0C" w:rsidRDefault="0007670C">
      <w:r>
        <w:separator/>
      </w:r>
    </w:p>
  </w:endnote>
  <w:endnote w:type="continuationSeparator" w:id="0">
    <w:p w:rsidR="0007670C" w:rsidRDefault="0007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0C" w:rsidRDefault="0007670C">
      <w:r>
        <w:separator/>
      </w:r>
    </w:p>
  </w:footnote>
  <w:footnote w:type="continuationSeparator" w:id="0">
    <w:p w:rsidR="0007670C" w:rsidRDefault="00076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89" w:rsidRPr="00036CD1" w:rsidRDefault="00BE5489" w:rsidP="00791115">
    <w:pPr>
      <w:pStyle w:val="Header"/>
      <w:tabs>
        <w:tab w:val="clear" w:pos="8136"/>
        <w:tab w:val="right" w:pos="9360"/>
      </w:tabs>
      <w:ind w:right="0"/>
      <w:rPr>
        <w:i w:val="0"/>
      </w:rPr>
    </w:pPr>
    <w:r w:rsidRPr="00036CD1">
      <w:t>R</w:t>
    </w:r>
    <w:r w:rsidRPr="00583EE4">
      <w:rPr>
        <w:i w:val="0"/>
      </w:rPr>
      <w:t>. v.</w:t>
    </w:r>
    <w:r w:rsidR="003B34B8">
      <w:t xml:space="preserve"> </w:t>
    </w:r>
    <w:r w:rsidR="008F5688">
      <w:t>Cole</w:t>
    </w:r>
    <w:r w:rsidRPr="00036CD1">
      <w:tab/>
    </w:r>
    <w:r w:rsidRPr="00036CD1">
      <w:rPr>
        <w:i w:val="0"/>
      </w:rPr>
      <w:t xml:space="preserve">Page:  </w:t>
    </w:r>
    <w:r w:rsidR="00221C5E">
      <w:rPr>
        <w:i w:val="0"/>
      </w:rPr>
      <w:fldChar w:fldCharType="begin"/>
    </w:r>
    <w:r>
      <w:rPr>
        <w:i w:val="0"/>
      </w:rPr>
      <w:instrText xml:space="preserve"> PAGE  \* MERGEFORMAT </w:instrText>
    </w:r>
    <w:r w:rsidR="00221C5E">
      <w:rPr>
        <w:i w:val="0"/>
      </w:rPr>
      <w:fldChar w:fldCharType="separate"/>
    </w:r>
    <w:r w:rsidR="00F3018A">
      <w:rPr>
        <w:i w:val="0"/>
        <w:noProof/>
      </w:rPr>
      <w:t>6</w:t>
    </w:r>
    <w:r w:rsidR="00221C5E">
      <w:rPr>
        <w:i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933"/>
    <w:multiLevelType w:val="singleLevel"/>
    <w:tmpl w:val="D98A3FAC"/>
    <w:lvl w:ilvl="0">
      <w:start w:val="1"/>
      <w:numFmt w:val="decimal"/>
      <w:lvlText w:val="[%1]"/>
      <w:lvlJc w:val="left"/>
      <w:pPr>
        <w:tabs>
          <w:tab w:val="num" w:pos="720"/>
        </w:tabs>
        <w:ind w:left="0" w:firstLine="0"/>
      </w:pPr>
    </w:lvl>
  </w:abstractNum>
  <w:abstractNum w:abstractNumId="1">
    <w:nsid w:val="0D2F020B"/>
    <w:multiLevelType w:val="singleLevel"/>
    <w:tmpl w:val="D98A3FAC"/>
    <w:lvl w:ilvl="0">
      <w:start w:val="1"/>
      <w:numFmt w:val="decimal"/>
      <w:lvlText w:val="[%1]"/>
      <w:lvlJc w:val="left"/>
      <w:pPr>
        <w:tabs>
          <w:tab w:val="num" w:pos="720"/>
        </w:tabs>
        <w:ind w:left="0" w:firstLine="0"/>
      </w:pPr>
    </w:lvl>
  </w:abstractNum>
  <w:abstractNum w:abstractNumId="2">
    <w:nsid w:val="1A18312B"/>
    <w:multiLevelType w:val="singleLevel"/>
    <w:tmpl w:val="0409000F"/>
    <w:lvl w:ilvl="0">
      <w:start w:val="1"/>
      <w:numFmt w:val="decimal"/>
      <w:lvlText w:val="%1."/>
      <w:lvlJc w:val="left"/>
      <w:pPr>
        <w:tabs>
          <w:tab w:val="num" w:pos="360"/>
        </w:tabs>
        <w:ind w:left="360" w:hanging="360"/>
      </w:pPr>
    </w:lvl>
  </w:abstractNum>
  <w:abstractNum w:abstractNumId="3">
    <w:nsid w:val="40007FA4"/>
    <w:multiLevelType w:val="singleLevel"/>
    <w:tmpl w:val="D98A3FAC"/>
    <w:lvl w:ilvl="0">
      <w:start w:val="1"/>
      <w:numFmt w:val="decimal"/>
      <w:lvlText w:val="[%1]"/>
      <w:lvlJc w:val="left"/>
      <w:pPr>
        <w:tabs>
          <w:tab w:val="num" w:pos="720"/>
        </w:tabs>
        <w:ind w:left="0" w:firstLine="0"/>
      </w:pPr>
    </w:lvl>
  </w:abstractNum>
  <w:abstractNum w:abstractNumId="4">
    <w:nsid w:val="7BB77FD0"/>
    <w:multiLevelType w:val="singleLevel"/>
    <w:tmpl w:val="273CA500"/>
    <w:lvl w:ilvl="0">
      <w:start w:val="1"/>
      <w:numFmt w:val="decimal"/>
      <w:pStyle w:val="NormalNumber"/>
      <w:lvlText w:val="[%1]"/>
      <w:lvlJc w:val="left"/>
      <w:pPr>
        <w:tabs>
          <w:tab w:val="num" w:pos="720"/>
        </w:tabs>
        <w:ind w:left="0" w:firstLine="0"/>
      </w:pPr>
    </w:lvl>
  </w:abstractNum>
  <w:abstractNum w:abstractNumId="5">
    <w:nsid w:val="7D7A0403"/>
    <w:multiLevelType w:val="hybridMultilevel"/>
    <w:tmpl w:val="1F4C23E8"/>
    <w:lvl w:ilvl="0" w:tplc="592A2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0C"/>
    <w:rsid w:val="00036CD1"/>
    <w:rsid w:val="0007670C"/>
    <w:rsid w:val="000E1B2D"/>
    <w:rsid w:val="00137F47"/>
    <w:rsid w:val="0020711A"/>
    <w:rsid w:val="00221C5E"/>
    <w:rsid w:val="002674B0"/>
    <w:rsid w:val="00284256"/>
    <w:rsid w:val="002961D6"/>
    <w:rsid w:val="003052BD"/>
    <w:rsid w:val="0036070D"/>
    <w:rsid w:val="003644BF"/>
    <w:rsid w:val="003B34B8"/>
    <w:rsid w:val="00426375"/>
    <w:rsid w:val="004458A7"/>
    <w:rsid w:val="00457E6B"/>
    <w:rsid w:val="004D7565"/>
    <w:rsid w:val="00583EE4"/>
    <w:rsid w:val="00595D4F"/>
    <w:rsid w:val="00634A4C"/>
    <w:rsid w:val="0068429D"/>
    <w:rsid w:val="006C39D7"/>
    <w:rsid w:val="007123DB"/>
    <w:rsid w:val="00720DED"/>
    <w:rsid w:val="00791115"/>
    <w:rsid w:val="00834598"/>
    <w:rsid w:val="00864FF8"/>
    <w:rsid w:val="008C4CD8"/>
    <w:rsid w:val="008D7510"/>
    <w:rsid w:val="008F5688"/>
    <w:rsid w:val="0093204C"/>
    <w:rsid w:val="00936D28"/>
    <w:rsid w:val="00941B77"/>
    <w:rsid w:val="00945A55"/>
    <w:rsid w:val="0095102C"/>
    <w:rsid w:val="00963941"/>
    <w:rsid w:val="00963C76"/>
    <w:rsid w:val="009A351E"/>
    <w:rsid w:val="009C333F"/>
    <w:rsid w:val="009F6C5F"/>
    <w:rsid w:val="00A239CC"/>
    <w:rsid w:val="00A66CB8"/>
    <w:rsid w:val="00A8703D"/>
    <w:rsid w:val="00A9380F"/>
    <w:rsid w:val="00A97563"/>
    <w:rsid w:val="00AE5DD8"/>
    <w:rsid w:val="00BE5489"/>
    <w:rsid w:val="00BE7775"/>
    <w:rsid w:val="00C843B2"/>
    <w:rsid w:val="00C865AB"/>
    <w:rsid w:val="00D70B8B"/>
    <w:rsid w:val="00DA5435"/>
    <w:rsid w:val="00DE267A"/>
    <w:rsid w:val="00DF25DF"/>
    <w:rsid w:val="00E51DE0"/>
    <w:rsid w:val="00E8158B"/>
    <w:rsid w:val="00EA751D"/>
    <w:rsid w:val="00F3018A"/>
    <w:rsid w:val="00F5002E"/>
    <w:rsid w:val="00F67083"/>
    <w:rsid w:val="00F8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CA"/>
    </w:rPr>
  </w:style>
  <w:style w:type="paragraph" w:styleId="Heading1">
    <w:name w:val="heading 1"/>
    <w:basedOn w:val="Normal"/>
    <w:next w:val="Normal"/>
    <w:qFormat/>
    <w:pPr>
      <w:keepNext/>
      <w:spacing w:before="240" w:after="120"/>
      <w:outlineLvl w:val="0"/>
    </w:pPr>
    <w:rPr>
      <w:b/>
      <w:kern w:val="28"/>
      <w:sz w:val="32"/>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
    <w:name w:val="Normal Number"/>
    <w:basedOn w:val="Normal"/>
    <w:pPr>
      <w:numPr>
        <w:numId w:val="1"/>
      </w:numPr>
      <w:spacing w:after="240" w:line="480" w:lineRule="auto"/>
    </w:pPr>
  </w:style>
  <w:style w:type="paragraph" w:styleId="Quote">
    <w:name w:val="Quote"/>
    <w:basedOn w:val="Normal"/>
    <w:qFormat/>
    <w:pPr>
      <w:ind w:left="720" w:right="720"/>
    </w:pPr>
  </w:style>
  <w:style w:type="paragraph" w:customStyle="1" w:styleId="Transcript">
    <w:name w:val="Transcript"/>
    <w:basedOn w:val="Quote"/>
    <w:pPr>
      <w:ind w:left="1440" w:hanging="720"/>
    </w:pPr>
  </w:style>
  <w:style w:type="character" w:customStyle="1" w:styleId="Citation">
    <w:name w:val="Citation"/>
    <w:basedOn w:val="DefaultParagraphFont"/>
    <w:rPr>
      <w:rFonts w:ascii="Courier New" w:hAnsi="Courier New"/>
      <w:b/>
      <w:i/>
      <w:noProof w:val="0"/>
      <w:sz w:val="24"/>
      <w:lang w:val="en-CA"/>
    </w:rPr>
  </w:style>
  <w:style w:type="paragraph" w:styleId="Header">
    <w:name w:val="header"/>
    <w:basedOn w:val="Normal"/>
    <w:rsid w:val="007123DB"/>
    <w:pPr>
      <w:pBdr>
        <w:bottom w:val="single" w:sz="4" w:space="1" w:color="auto"/>
      </w:pBdr>
      <w:tabs>
        <w:tab w:val="right" w:pos="8136"/>
      </w:tabs>
      <w:ind w:right="360"/>
    </w:pPr>
    <w:rPr>
      <w:i/>
    </w:rPr>
  </w:style>
  <w:style w:type="paragraph" w:styleId="Footer">
    <w:name w:val="footer"/>
    <w:basedOn w:val="Normal"/>
    <w:pPr>
      <w:tabs>
        <w:tab w:val="center" w:pos="4320"/>
        <w:tab w:val="right" w:pos="8640"/>
      </w:tabs>
    </w:pPr>
  </w:style>
  <w:style w:type="character" w:styleId="PageNumber">
    <w:name w:val="page number"/>
    <w:basedOn w:val="DefaultParagraphFont"/>
    <w:rPr>
      <w:noProof w:val="0"/>
      <w:lang w:val="en-CA"/>
    </w:rPr>
  </w:style>
  <w:style w:type="paragraph" w:styleId="BalloonText">
    <w:name w:val="Balloon Text"/>
    <w:basedOn w:val="Normal"/>
    <w:link w:val="BalloonTextChar"/>
    <w:rsid w:val="00F5002E"/>
    <w:rPr>
      <w:rFonts w:ascii="Tahoma" w:hAnsi="Tahoma" w:cs="Tahoma"/>
      <w:sz w:val="16"/>
      <w:szCs w:val="16"/>
    </w:rPr>
  </w:style>
  <w:style w:type="character" w:customStyle="1" w:styleId="BalloonTextChar">
    <w:name w:val="Balloon Text Char"/>
    <w:basedOn w:val="DefaultParagraphFont"/>
    <w:link w:val="BalloonText"/>
    <w:rsid w:val="00F5002E"/>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CA"/>
    </w:rPr>
  </w:style>
  <w:style w:type="paragraph" w:styleId="Heading1">
    <w:name w:val="heading 1"/>
    <w:basedOn w:val="Normal"/>
    <w:next w:val="Normal"/>
    <w:qFormat/>
    <w:pPr>
      <w:keepNext/>
      <w:spacing w:before="240" w:after="120"/>
      <w:outlineLvl w:val="0"/>
    </w:pPr>
    <w:rPr>
      <w:b/>
      <w:kern w:val="28"/>
      <w:sz w:val="32"/>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
    <w:name w:val="Normal Number"/>
    <w:basedOn w:val="Normal"/>
    <w:pPr>
      <w:numPr>
        <w:numId w:val="1"/>
      </w:numPr>
      <w:spacing w:after="240" w:line="480" w:lineRule="auto"/>
    </w:pPr>
  </w:style>
  <w:style w:type="paragraph" w:styleId="Quote">
    <w:name w:val="Quote"/>
    <w:basedOn w:val="Normal"/>
    <w:qFormat/>
    <w:pPr>
      <w:ind w:left="720" w:right="720"/>
    </w:pPr>
  </w:style>
  <w:style w:type="paragraph" w:customStyle="1" w:styleId="Transcript">
    <w:name w:val="Transcript"/>
    <w:basedOn w:val="Quote"/>
    <w:pPr>
      <w:ind w:left="1440" w:hanging="720"/>
    </w:pPr>
  </w:style>
  <w:style w:type="character" w:customStyle="1" w:styleId="Citation">
    <w:name w:val="Citation"/>
    <w:basedOn w:val="DefaultParagraphFont"/>
    <w:rPr>
      <w:rFonts w:ascii="Courier New" w:hAnsi="Courier New"/>
      <w:b/>
      <w:i/>
      <w:noProof w:val="0"/>
      <w:sz w:val="24"/>
      <w:lang w:val="en-CA"/>
    </w:rPr>
  </w:style>
  <w:style w:type="paragraph" w:styleId="Header">
    <w:name w:val="header"/>
    <w:basedOn w:val="Normal"/>
    <w:rsid w:val="007123DB"/>
    <w:pPr>
      <w:pBdr>
        <w:bottom w:val="single" w:sz="4" w:space="1" w:color="auto"/>
      </w:pBdr>
      <w:tabs>
        <w:tab w:val="right" w:pos="8136"/>
      </w:tabs>
      <w:ind w:right="360"/>
    </w:pPr>
    <w:rPr>
      <w:i/>
    </w:rPr>
  </w:style>
  <w:style w:type="paragraph" w:styleId="Footer">
    <w:name w:val="footer"/>
    <w:basedOn w:val="Normal"/>
    <w:pPr>
      <w:tabs>
        <w:tab w:val="center" w:pos="4320"/>
        <w:tab w:val="right" w:pos="8640"/>
      </w:tabs>
    </w:pPr>
  </w:style>
  <w:style w:type="character" w:styleId="PageNumber">
    <w:name w:val="page number"/>
    <w:basedOn w:val="DefaultParagraphFont"/>
    <w:rPr>
      <w:noProof w:val="0"/>
      <w:lang w:val="en-CA"/>
    </w:rPr>
  </w:style>
  <w:style w:type="paragraph" w:styleId="BalloonText">
    <w:name w:val="Balloon Text"/>
    <w:basedOn w:val="Normal"/>
    <w:link w:val="BalloonTextChar"/>
    <w:rsid w:val="00F5002E"/>
    <w:rPr>
      <w:rFonts w:ascii="Tahoma" w:hAnsi="Tahoma" w:cs="Tahoma"/>
      <w:sz w:val="16"/>
      <w:szCs w:val="16"/>
    </w:rPr>
  </w:style>
  <w:style w:type="character" w:customStyle="1" w:styleId="BalloonTextChar">
    <w:name w:val="Balloon Text Char"/>
    <w:basedOn w:val="DefaultParagraphFont"/>
    <w:link w:val="BalloonText"/>
    <w:rsid w:val="00F5002E"/>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48C5-827F-4F82-B9A7-8A3B7581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1391</Words>
  <Characters>6408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SUPREME COURT OF YUKON </vt:lpstr>
    </vt:vector>
  </TitlesOfParts>
  <Company>BC Superior Courts</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OF YUKON</dc:title>
  <dc:creator>Assistant</dc:creator>
  <cp:lastModifiedBy>Marie.Gagnon</cp:lastModifiedBy>
  <cp:revision>2</cp:revision>
  <cp:lastPrinted>2013-03-06T16:41:00Z</cp:lastPrinted>
  <dcterms:created xsi:type="dcterms:W3CDTF">2013-04-09T21:06:00Z</dcterms:created>
  <dcterms:modified xsi:type="dcterms:W3CDTF">2013-04-09T21:06:00Z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tionNumber">
    <vt:lpwstr>blank</vt:lpwstr>
  </property>
</Properties>
</file>